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D6A95" w14:textId="77777777" w:rsidR="00B85CFD" w:rsidRPr="0024528E" w:rsidRDefault="0024528E">
      <w:pPr>
        <w:pStyle w:val="Ttulo1"/>
        <w:rPr>
          <w:sz w:val="36"/>
          <w:szCs w:val="36"/>
        </w:rPr>
      </w:pPr>
      <w:r>
        <w:rPr>
          <w:sz w:val="36"/>
          <w:szCs w:val="36"/>
        </w:rPr>
        <w:t>Documento electrónico sectorial (eds) para la liquidación o autoliquidación de las tasas de ocupación de dominio público</w:t>
      </w:r>
    </w:p>
    <w:p w14:paraId="41BECA0B" w14:textId="77777777" w:rsidR="00B85CFD" w:rsidRDefault="0024528E">
      <w:r>
        <w:t>En este documento se descr</w:t>
      </w:r>
      <w:bookmarkStart w:id="0" w:name="_GoBack"/>
      <w:bookmarkEnd w:id="0"/>
      <w:r>
        <w:t>ibe las labores realizadas para una especificación común de la liquidación e las tasas de ocupación de dominio público, que efectúan las empresas proveedoras de algunos servicios, a la administración local</w:t>
      </w:r>
    </w:p>
    <w:p w14:paraId="4F59E1D6" w14:textId="77777777" w:rsidR="00B85CFD" w:rsidRPr="0024528E" w:rsidRDefault="0024528E">
      <w:pPr>
        <w:pStyle w:val="Ttulo2"/>
        <w:rPr>
          <w:sz w:val="32"/>
          <w:szCs w:val="32"/>
        </w:rPr>
      </w:pPr>
      <w:r w:rsidRPr="0024528E">
        <w:rPr>
          <w:sz w:val="32"/>
          <w:szCs w:val="32"/>
        </w:rPr>
        <w:t>introducción</w:t>
      </w:r>
    </w:p>
    <w:p w14:paraId="4639A06A" w14:textId="77777777" w:rsidR="00B85CFD" w:rsidRDefault="0024528E">
      <w:r>
        <w:t>Gran número de compañías, proveedoras de servicios de distinta índole (telecomunicaciones, energía, agua, u otros) han de efectuar un conjunto de liquidaciones en distintos momentos temporales (trimestrales, semestrales, y anuales) a las distintas administraciones locales con las que trabajan.</w:t>
      </w:r>
    </w:p>
    <w:p w14:paraId="2BCBDBE6" w14:textId="33135671" w:rsidR="0024528E" w:rsidRDefault="0024528E">
      <w:r>
        <w:t>Las distintas ordenanzas pueden hacer referencia a una liquidación declarativa que se resuelve por parte de la autoridad competente, indicando el modo, fecha límite, cuenta bancaria u otros donde efectuar el pago. Alternativamente, otras administraciones han legislado de modo que se permita una autoliquidación por parte de estas empresas, dado que</w:t>
      </w:r>
      <w:r w:rsidR="00A108DB">
        <w:t>,</w:t>
      </w:r>
      <w:r>
        <w:t xml:space="preserve"> en gran medida, las administraciones no pueden realizar comprobaciones exhaustivas sobre estas declaraciones.</w:t>
      </w:r>
    </w:p>
    <w:p w14:paraId="46BFD4C8" w14:textId="55DC8ABC" w:rsidR="00B85CFD" w:rsidRDefault="006F48DD">
      <w:pPr>
        <w:pStyle w:val="Cita"/>
      </w:pPr>
      <w:r>
        <w:t>“E</w:t>
      </w:r>
      <w:r w:rsidR="00633E38">
        <w:t>stablecer un documento común f</w:t>
      </w:r>
      <w:r w:rsidR="0024528E">
        <w:t>omenta</w:t>
      </w:r>
      <w:r w:rsidR="00633E38">
        <w:t>rá</w:t>
      </w:r>
      <w:r w:rsidR="0024528E">
        <w:t xml:space="preserve"> la tramitación automatizada administrativa”</w:t>
      </w:r>
    </w:p>
    <w:p w14:paraId="4852C869" w14:textId="3542400E" w:rsidR="00B85CFD" w:rsidRDefault="00C16177">
      <w:r>
        <w:t>La Ley 39/2015, de procedimiento administrativo común, habilita a las administraciones a realizar tramitaciones automatizadas, de modo que</w:t>
      </w:r>
      <w:r w:rsidR="00A108DB">
        <w:t>,</w:t>
      </w:r>
      <w:r>
        <w:t xml:space="preserve"> mediante una regulación específica, se habilita a determinados trámites, a efectuarse de modo automatizado. </w:t>
      </w:r>
    </w:p>
    <w:p w14:paraId="2ADF3020" w14:textId="77777777" w:rsidR="00C16177" w:rsidRDefault="00C16177">
      <w:r>
        <w:t>En este sentido, para fomentar un incremento de la eficiencia, y una eliminación de trámites innecesarios de índole manual, se proponen dos iniciativas complementarias:</w:t>
      </w:r>
    </w:p>
    <w:p w14:paraId="4F45F625" w14:textId="77777777" w:rsidR="00B85CFD" w:rsidRDefault="00C16177" w:rsidP="00167C90">
      <w:pPr>
        <w:pStyle w:val="Listaconvietas"/>
      </w:pPr>
      <w:r>
        <w:t>Fomento de la autoliquidación por parte de las empresas.</w:t>
      </w:r>
    </w:p>
    <w:p w14:paraId="4A00BDF6" w14:textId="77777777" w:rsidR="00C16177" w:rsidRDefault="00C16177" w:rsidP="00167C90">
      <w:pPr>
        <w:pStyle w:val="Listaconvietas"/>
      </w:pPr>
      <w:r>
        <w:t>Fomento de la tramitación automatizada sobre la liquidación no autónoma.</w:t>
      </w:r>
    </w:p>
    <w:p w14:paraId="19845C03" w14:textId="77777777" w:rsidR="00C16177" w:rsidRDefault="00690667" w:rsidP="00690667">
      <w:pPr>
        <w:pStyle w:val="Ttulo2"/>
      </w:pPr>
      <w:r>
        <w:lastRenderedPageBreak/>
        <w:t>Trabajos realizados</w:t>
      </w:r>
    </w:p>
    <w:p w14:paraId="05CAAA2C" w14:textId="77777777" w:rsidR="00690667" w:rsidRDefault="00690667" w:rsidP="00690667">
      <w:r>
        <w:t>Se ha realizado un estudio del trámite que se sigue, tanto por parte del sector empresarial, como por parte de la administración local, que finaliza dichos trámites.</w:t>
      </w:r>
    </w:p>
    <w:p w14:paraId="4AEF0D9C" w14:textId="38FE364B" w:rsidR="00690667" w:rsidRDefault="00690667" w:rsidP="00690667">
      <w:r>
        <w:t>Se distinguen, como se indica en la introducción, dos casos de uso, la liquidación manual, y la autoliquidación</w:t>
      </w:r>
      <w:r w:rsidR="005F6C72">
        <w:t>, en función de la normativa reguladora del trámite en las ordenanzas municipales.</w:t>
      </w:r>
    </w:p>
    <w:p w14:paraId="4FE9F948" w14:textId="77777777" w:rsidR="00690667" w:rsidRDefault="00690667" w:rsidP="00690667">
      <w:pPr>
        <w:pStyle w:val="Ttulo3"/>
      </w:pPr>
      <w:r>
        <w:t>Liquidación Manual</w:t>
      </w:r>
    </w:p>
    <w:p w14:paraId="5E0D104D" w14:textId="77777777" w:rsidR="00690667" w:rsidRDefault="00690667" w:rsidP="00690667">
      <w:r>
        <w:t>Este caso es algo más complejo que la autoliquidación, ya que el proceso puede resumirse de la siguiente manera:</w:t>
      </w:r>
    </w:p>
    <w:p w14:paraId="36374F50" w14:textId="77777777" w:rsidR="00690667" w:rsidRDefault="00690667" w:rsidP="00690667">
      <w:pPr>
        <w:pStyle w:val="Prrafodelista"/>
        <w:numPr>
          <w:ilvl w:val="0"/>
          <w:numId w:val="9"/>
        </w:numPr>
      </w:pPr>
      <w:r>
        <w:t>La empresa o gestora presenta en registro el documento declarativo de ingresos, impuestos, base imponible y otros datos.</w:t>
      </w:r>
    </w:p>
    <w:p w14:paraId="02EA74C7" w14:textId="77777777" w:rsidR="00690667" w:rsidRDefault="00690667" w:rsidP="00690667">
      <w:pPr>
        <w:pStyle w:val="Prrafodelista"/>
        <w:numPr>
          <w:ilvl w:val="0"/>
          <w:numId w:val="9"/>
        </w:numPr>
      </w:pPr>
      <w:r>
        <w:t>La administración local resuelve indicando fecha límite y método de pago de la misma.</w:t>
      </w:r>
    </w:p>
    <w:p w14:paraId="778E990E" w14:textId="77777777" w:rsidR="00690667" w:rsidRDefault="00690667" w:rsidP="00690667">
      <w:pPr>
        <w:pStyle w:val="Prrafodelista"/>
        <w:numPr>
          <w:ilvl w:val="0"/>
          <w:numId w:val="9"/>
        </w:numPr>
      </w:pPr>
      <w:r>
        <w:t xml:space="preserve">La empresa efectúa la </w:t>
      </w:r>
      <w:r w:rsidR="0008068D">
        <w:t xml:space="preserve">transferencia y comunica los datos </w:t>
      </w:r>
    </w:p>
    <w:p w14:paraId="627F24F9" w14:textId="0B75BC95" w:rsidR="005F6C72" w:rsidRDefault="00690667" w:rsidP="005F6C72">
      <w:pPr>
        <w:pStyle w:val="Prrafodelista"/>
        <w:numPr>
          <w:ilvl w:val="0"/>
          <w:numId w:val="9"/>
        </w:numPr>
      </w:pPr>
      <w:r>
        <w:t>La administración local comprueba posteriormente dicho ingreso.</w:t>
      </w:r>
    </w:p>
    <w:p w14:paraId="3ED051BB" w14:textId="0B671264" w:rsidR="005F6C72" w:rsidRDefault="005F6C72" w:rsidP="00AC31FB">
      <w:pPr>
        <w:pStyle w:val="Ttulo4"/>
      </w:pPr>
      <w:r>
        <w:t>Requisitos</w:t>
      </w:r>
      <w:r w:rsidR="00AC31FB">
        <w:t xml:space="preserve"> Normativos</w:t>
      </w:r>
    </w:p>
    <w:p w14:paraId="2838BE3F" w14:textId="7EAE5012" w:rsidR="00AC31FB" w:rsidRDefault="00AC31FB" w:rsidP="005F6C72">
      <w:r>
        <w:t>Se requiere regular la tramitación automatizada por el competente en el municipio</w:t>
      </w:r>
    </w:p>
    <w:p w14:paraId="0461FF90" w14:textId="636CFFC4" w:rsidR="005F6C72" w:rsidRDefault="00AC31FB" w:rsidP="00A34F0D">
      <w:pPr>
        <w:pStyle w:val="Ttulo4"/>
      </w:pPr>
      <w:r>
        <w:t>Requisitos Técnicos</w:t>
      </w:r>
    </w:p>
    <w:p w14:paraId="679CF48B" w14:textId="51D7CBF7" w:rsidR="00AC31FB" w:rsidRDefault="00AC31FB" w:rsidP="003366B1">
      <w:pPr>
        <w:pStyle w:val="Prrafodelista"/>
        <w:numPr>
          <w:ilvl w:val="0"/>
          <w:numId w:val="10"/>
        </w:numPr>
      </w:pPr>
      <w:r>
        <w:t>Conexión al SIR</w:t>
      </w:r>
    </w:p>
    <w:p w14:paraId="5EB8A1E3" w14:textId="291E4997" w:rsidR="00AC31FB" w:rsidRDefault="00AC31FB" w:rsidP="003366B1">
      <w:pPr>
        <w:pStyle w:val="Prrafodelista"/>
        <w:numPr>
          <w:ilvl w:val="0"/>
          <w:numId w:val="10"/>
        </w:numPr>
      </w:pPr>
      <w:r>
        <w:t>Conexión a Punto Único de Notificaciones para grandes emisores</w:t>
      </w:r>
    </w:p>
    <w:p w14:paraId="09F9E925" w14:textId="7E057127" w:rsidR="00AC31FB" w:rsidRDefault="003366B1" w:rsidP="003366B1">
      <w:pPr>
        <w:pStyle w:val="Ttulo4"/>
      </w:pPr>
      <w:r>
        <w:t>Proceso técnico</w:t>
      </w:r>
    </w:p>
    <w:p w14:paraId="31D2E705" w14:textId="494603A1" w:rsidR="003366B1" w:rsidRDefault="00E13190" w:rsidP="003366B1">
      <w:pPr>
        <w:pStyle w:val="Prrafodelista"/>
        <w:numPr>
          <w:ilvl w:val="0"/>
          <w:numId w:val="11"/>
        </w:numPr>
      </w:pPr>
      <w:r>
        <w:t>La empresa ha de completar el documento electrónico de liquidación de tasa de ocupación de dominio público (ver Anexo I)</w:t>
      </w:r>
    </w:p>
    <w:p w14:paraId="1E06226A" w14:textId="6A6ACC72" w:rsidR="007A40E2" w:rsidRDefault="007A40E2" w:rsidP="007A40E2">
      <w:pPr>
        <w:pStyle w:val="Prrafodelista"/>
        <w:numPr>
          <w:ilvl w:val="1"/>
          <w:numId w:val="11"/>
        </w:numPr>
      </w:pPr>
      <w:r>
        <w:t>Completará los datos de carácter obligatorio y firmará electrónicamente el documento.</w:t>
      </w:r>
    </w:p>
    <w:p w14:paraId="6877A233" w14:textId="64BDAD75" w:rsidR="00E13190" w:rsidRDefault="00E13190" w:rsidP="003366B1">
      <w:pPr>
        <w:pStyle w:val="Prrafodelista"/>
        <w:numPr>
          <w:ilvl w:val="0"/>
          <w:numId w:val="11"/>
        </w:numPr>
      </w:pPr>
      <w:r>
        <w:t>Registrar mediante los servicios web de registro electrónico común</w:t>
      </w:r>
    </w:p>
    <w:p w14:paraId="5BB446BB" w14:textId="23B34189" w:rsidR="00E13190" w:rsidRDefault="00E13190" w:rsidP="003366B1">
      <w:pPr>
        <w:pStyle w:val="Prrafodelista"/>
        <w:numPr>
          <w:ilvl w:val="0"/>
          <w:numId w:val="11"/>
        </w:numPr>
      </w:pPr>
      <w:r>
        <w:lastRenderedPageBreak/>
        <w:t>La entidad local recibe e identifica el trámite en el registro, devolviendo de manera automatizada el documento, completando una cierta información en base a dicha presentación, completando los datos necesarios para que la empresa efectúe el pago, por el punto único de notificación.</w:t>
      </w:r>
    </w:p>
    <w:p w14:paraId="2EE5F073" w14:textId="16499255" w:rsidR="008B12D0" w:rsidRDefault="008B12D0" w:rsidP="008B12D0">
      <w:pPr>
        <w:pStyle w:val="Prrafodelista"/>
        <w:numPr>
          <w:ilvl w:val="1"/>
          <w:numId w:val="11"/>
        </w:numPr>
      </w:pPr>
      <w:r>
        <w:t>Completará los datos del documento anterior, con los del subgrupo TODP4.5 (Resolución) y firmará electrónicamente el documento.</w:t>
      </w:r>
    </w:p>
    <w:p w14:paraId="3971E7B6" w14:textId="3E650A36" w:rsidR="00E13190" w:rsidRDefault="00E13190" w:rsidP="003366B1">
      <w:pPr>
        <w:pStyle w:val="Prrafodelista"/>
        <w:numPr>
          <w:ilvl w:val="0"/>
          <w:numId w:val="11"/>
        </w:numPr>
      </w:pPr>
      <w:r>
        <w:t>La empresa recibe la notificación, a la que comparece automáticamente mediante LEMA.</w:t>
      </w:r>
    </w:p>
    <w:p w14:paraId="45459734" w14:textId="1910DD24" w:rsidR="008B12D0" w:rsidRDefault="008B12D0" w:rsidP="008B12D0">
      <w:pPr>
        <w:pStyle w:val="Prrafodelista"/>
        <w:numPr>
          <w:ilvl w:val="1"/>
          <w:numId w:val="11"/>
        </w:numPr>
      </w:pPr>
      <w:r>
        <w:t>La administración recibirá el justificante de dicha notificación.</w:t>
      </w:r>
    </w:p>
    <w:p w14:paraId="4B014DA2" w14:textId="7A1BE7FA" w:rsidR="00E13190" w:rsidRDefault="00E13190" w:rsidP="003366B1">
      <w:pPr>
        <w:pStyle w:val="Prrafodelista"/>
        <w:numPr>
          <w:ilvl w:val="0"/>
          <w:numId w:val="11"/>
        </w:numPr>
      </w:pPr>
      <w:r>
        <w:t>La empresa efectúa la transferencia a la cuenta bancaria indicada en la notificación.</w:t>
      </w:r>
    </w:p>
    <w:p w14:paraId="5375AFD9" w14:textId="422E78AD" w:rsidR="00E13190" w:rsidRDefault="00E13190" w:rsidP="003366B1">
      <w:pPr>
        <w:pStyle w:val="Prrafodelista"/>
        <w:numPr>
          <w:ilvl w:val="0"/>
          <w:numId w:val="11"/>
        </w:numPr>
      </w:pPr>
      <w:r>
        <w:t>La empresa, una vez realizada, remite el justificante de la carta de pago obtenido en el punto 5.</w:t>
      </w:r>
    </w:p>
    <w:p w14:paraId="0BD86B94" w14:textId="3C23A6DA" w:rsidR="008B12D0" w:rsidRDefault="008B12D0" w:rsidP="008B12D0">
      <w:pPr>
        <w:pStyle w:val="Prrafodelista"/>
        <w:numPr>
          <w:ilvl w:val="1"/>
          <w:numId w:val="11"/>
        </w:numPr>
      </w:pPr>
      <w:r>
        <w:t>Completará el documento obtenido en (3) con los datos de TODP4.7, aportando opcionalmente un documento justificativo de dicha transferencia, y firmará electrónicamente el documento.</w:t>
      </w:r>
    </w:p>
    <w:p w14:paraId="76F38B9F" w14:textId="42615E07" w:rsidR="00E13190" w:rsidRPr="00690667" w:rsidRDefault="00E13190" w:rsidP="003366B1">
      <w:pPr>
        <w:pStyle w:val="Prrafodelista"/>
        <w:numPr>
          <w:ilvl w:val="0"/>
          <w:numId w:val="11"/>
        </w:numPr>
      </w:pPr>
      <w:r>
        <w:t>La administración queda pendiente de comprobación posterior de dicho pago.</w:t>
      </w:r>
    </w:p>
    <w:p w14:paraId="7BD322EE" w14:textId="77777777" w:rsidR="0008068D" w:rsidRDefault="0008068D" w:rsidP="0008068D">
      <w:pPr>
        <w:pStyle w:val="Ttulo3"/>
      </w:pPr>
      <w:r>
        <w:t>Autoliquidación</w:t>
      </w:r>
    </w:p>
    <w:p w14:paraId="6DF00F86" w14:textId="58D3D3D2" w:rsidR="0008068D" w:rsidRDefault="0008068D" w:rsidP="0008068D">
      <w:r>
        <w:t>En este caso, la empresa presenta</w:t>
      </w:r>
      <w:r w:rsidR="005F6C72">
        <w:t xml:space="preserve"> directamente una carta acreditativa del pago ante la entidad local, con algunos datos identifications y justificativos de dicho pago.</w:t>
      </w:r>
    </w:p>
    <w:p w14:paraId="1BFF1DB5" w14:textId="77777777" w:rsidR="00B82110" w:rsidRDefault="00B82110" w:rsidP="007A40E2">
      <w:pPr>
        <w:pStyle w:val="Ttulo4"/>
      </w:pPr>
      <w:r>
        <w:t>Requisitos Normativos</w:t>
      </w:r>
    </w:p>
    <w:p w14:paraId="2523630D" w14:textId="00EA61B0" w:rsidR="00B82110" w:rsidRDefault="00B82110" w:rsidP="007A40E2">
      <w:r>
        <w:t>Se requiere tener regulado mediante ordenanza la habilitación a la autoliquidación de dicho trámite.</w:t>
      </w:r>
    </w:p>
    <w:p w14:paraId="599BA956" w14:textId="77777777" w:rsidR="00B82110" w:rsidRDefault="00B82110" w:rsidP="007A40E2">
      <w:pPr>
        <w:pStyle w:val="Ttulo4"/>
      </w:pPr>
      <w:r>
        <w:t>Requisitos Técnicos</w:t>
      </w:r>
    </w:p>
    <w:p w14:paraId="43BC2A40" w14:textId="77777777" w:rsidR="00B82110" w:rsidRDefault="00B82110" w:rsidP="00B82110">
      <w:pPr>
        <w:pStyle w:val="Prrafodelista"/>
        <w:numPr>
          <w:ilvl w:val="0"/>
          <w:numId w:val="10"/>
        </w:numPr>
      </w:pPr>
      <w:r>
        <w:t>Conexión al SIR</w:t>
      </w:r>
    </w:p>
    <w:p w14:paraId="24ADA335" w14:textId="77777777" w:rsidR="00B82110" w:rsidRDefault="00B82110" w:rsidP="00B82110">
      <w:pPr>
        <w:pStyle w:val="Prrafodelista"/>
        <w:numPr>
          <w:ilvl w:val="0"/>
          <w:numId w:val="10"/>
        </w:numPr>
      </w:pPr>
      <w:r>
        <w:t>Conexión a Punto Único de Notificaciones para grandes emisores</w:t>
      </w:r>
    </w:p>
    <w:p w14:paraId="6B93AE7E" w14:textId="64B61704" w:rsidR="00B82110" w:rsidRDefault="00B82110" w:rsidP="007A40E2">
      <w:pPr>
        <w:pStyle w:val="Ttulo4"/>
      </w:pPr>
      <w:r>
        <w:t>Proceso técnico</w:t>
      </w:r>
    </w:p>
    <w:p w14:paraId="5171F635" w14:textId="715E86B9" w:rsidR="00B82110" w:rsidRDefault="00B82110" w:rsidP="00B82110">
      <w:pPr>
        <w:pStyle w:val="Prrafodelista"/>
        <w:numPr>
          <w:ilvl w:val="0"/>
          <w:numId w:val="12"/>
        </w:numPr>
      </w:pPr>
      <w:r>
        <w:t>La empresa realiza el pago y obtiene el justificante del mismo (carta de pago)</w:t>
      </w:r>
    </w:p>
    <w:p w14:paraId="52636B01" w14:textId="42AB4D84" w:rsidR="00B82110" w:rsidRDefault="00B82110" w:rsidP="00B82110">
      <w:pPr>
        <w:pStyle w:val="Prrafodelista"/>
        <w:numPr>
          <w:ilvl w:val="0"/>
          <w:numId w:val="12"/>
        </w:numPr>
      </w:pPr>
      <w:r>
        <w:t>La empresa, mediante los servicios de registro, completa los datos y adjunta dicha información de la carta de pago.</w:t>
      </w:r>
    </w:p>
    <w:p w14:paraId="40C99360" w14:textId="520FCDDE" w:rsidR="007A40E2" w:rsidRDefault="007A40E2" w:rsidP="007A40E2">
      <w:pPr>
        <w:pStyle w:val="Prrafodelista"/>
        <w:numPr>
          <w:ilvl w:val="1"/>
          <w:numId w:val="12"/>
        </w:numPr>
      </w:pPr>
      <w:r>
        <w:lastRenderedPageBreak/>
        <w:t>Completaría los datos de carácter obligatorio, y aquel de negocio correspondiente a la Liquidación, firmando electrónicamente el documento.</w:t>
      </w:r>
    </w:p>
    <w:p w14:paraId="7FC57E62" w14:textId="78FD0FEB" w:rsidR="00B82110" w:rsidRDefault="00B82110" w:rsidP="00B82110">
      <w:pPr>
        <w:pStyle w:val="Prrafodelista"/>
        <w:numPr>
          <w:ilvl w:val="0"/>
          <w:numId w:val="12"/>
        </w:numPr>
      </w:pPr>
      <w:r>
        <w:t>La administración comprueba la corrección de dicho pago</w:t>
      </w:r>
    </w:p>
    <w:p w14:paraId="1F58AF39" w14:textId="510E1A8D" w:rsidR="00B82110" w:rsidRDefault="00B82110" w:rsidP="00B82110">
      <w:pPr>
        <w:pStyle w:val="Prrafodelista"/>
        <w:numPr>
          <w:ilvl w:val="0"/>
          <w:numId w:val="12"/>
        </w:numPr>
      </w:pPr>
      <w:r>
        <w:t>(Opcional) La administración notifica mediante el punto único de notificaciones la corrección de dicho pago.</w:t>
      </w:r>
    </w:p>
    <w:p w14:paraId="251D75D5" w14:textId="0B8589D5" w:rsidR="007A40E2" w:rsidRDefault="007A40E2" w:rsidP="007A40E2">
      <w:pPr>
        <w:pStyle w:val="Prrafodelista"/>
        <w:numPr>
          <w:ilvl w:val="1"/>
          <w:numId w:val="12"/>
        </w:numPr>
      </w:pPr>
      <w:r>
        <w:t>Dado que es opcional, no se requiere confirmación más allá de la presentación.</w:t>
      </w:r>
    </w:p>
    <w:p w14:paraId="13CCA166" w14:textId="18808EF9" w:rsidR="00B82110" w:rsidRDefault="00B82110" w:rsidP="00B82110"/>
    <w:p w14:paraId="16F9A88C" w14:textId="24697CD5" w:rsidR="007E113A" w:rsidRDefault="007E113A" w:rsidP="00B82110">
      <w:r>
        <w:rPr>
          <w:noProof/>
        </w:rPr>
        <w:drawing>
          <wp:inline distT="0" distB="0" distL="0" distR="0" wp14:anchorId="7DE6B8A3" wp14:editId="0AAE2672">
            <wp:extent cx="6280785" cy="4562475"/>
            <wp:effectExtent l="0" t="0" r="571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BT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078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715CD" w14:textId="77777777" w:rsidR="007A40E2" w:rsidRDefault="007A40E2" w:rsidP="00A108DB">
      <w:pPr>
        <w:pStyle w:val="Ttulo2"/>
        <w:sectPr w:rsidR="007A40E2" w:rsidSect="007E113A">
          <w:footerReference w:type="default" r:id="rId8"/>
          <w:headerReference w:type="first" r:id="rId9"/>
          <w:footerReference w:type="first" r:id="rId10"/>
          <w:pgSz w:w="11907" w:h="16839"/>
          <w:pgMar w:top="1134" w:right="1008" w:bottom="1440" w:left="1008" w:header="284" w:footer="432" w:gutter="0"/>
          <w:cols w:space="720"/>
          <w:titlePg/>
          <w:docGrid w:linePitch="360"/>
        </w:sectPr>
      </w:pPr>
    </w:p>
    <w:p w14:paraId="3388CFB2" w14:textId="4EB84976" w:rsidR="00A108DB" w:rsidRDefault="00A108DB" w:rsidP="00A108DB">
      <w:pPr>
        <w:pStyle w:val="Ttulo2"/>
      </w:pPr>
      <w:r>
        <w:lastRenderedPageBreak/>
        <w:t>DOCUMENTO ELECTRÓNICO TODP</w:t>
      </w:r>
    </w:p>
    <w:p w14:paraId="42FE950E" w14:textId="59BBCE23" w:rsidR="005F6C72" w:rsidRDefault="00A108DB" w:rsidP="00A108DB">
      <w:r>
        <w:t>A continuación se detalla el documento de Liquidación o Autoliquidación de Tasas de Ocupación de Dominio Público</w:t>
      </w:r>
      <w:r w:rsidR="007A40E2">
        <w:t>.</w:t>
      </w:r>
    </w:p>
    <w:tbl>
      <w:tblPr>
        <w:tblW w:w="88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1918"/>
        <w:gridCol w:w="1445"/>
        <w:gridCol w:w="551"/>
        <w:gridCol w:w="670"/>
        <w:gridCol w:w="580"/>
        <w:gridCol w:w="721"/>
        <w:gridCol w:w="523"/>
        <w:gridCol w:w="1076"/>
        <w:gridCol w:w="1053"/>
        <w:gridCol w:w="585"/>
        <w:gridCol w:w="755"/>
        <w:gridCol w:w="514"/>
        <w:gridCol w:w="660"/>
        <w:gridCol w:w="519"/>
        <w:gridCol w:w="330"/>
        <w:gridCol w:w="330"/>
        <w:gridCol w:w="325"/>
      </w:tblGrid>
      <w:tr w:rsidR="007A40E2" w:rsidRPr="007A40E2" w14:paraId="3355C1CC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61F16E6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Referencia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06257F7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Nombre Formal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679809D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Sub-Elemento De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4EBD6DF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Definición</w:t>
            </w: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543185A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Aplicabilidad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0AE17CD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Obligación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077DF7E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Automatizable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069D1A1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Repetible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53FD9EE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Sub-Elementos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43C685A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Valores-Esquema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3202EB5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Por defecto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350AD92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Compatibilidad - ISO23801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7C3A36C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Finalidad</w:t>
            </w: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6054BA0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Comentarios</w:t>
            </w: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2D706AF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Ejemplos</w:t>
            </w: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4CC36A5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¿En Reg-e?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B600" w:fill="FFB600"/>
            <w:noWrap/>
            <w:vAlign w:val="bottom"/>
            <w:hideMark/>
          </w:tcPr>
          <w:p w14:paraId="7FD2FCF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¿En Doc-e?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B600" w:fill="FFB600"/>
            <w:noWrap/>
            <w:vAlign w:val="bottom"/>
            <w:hideMark/>
          </w:tcPr>
          <w:p w14:paraId="5C408C5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¿En Exp-e?</w:t>
            </w:r>
          </w:p>
        </w:tc>
      </w:tr>
      <w:tr w:rsidR="007A40E2" w:rsidRPr="007A40E2" w14:paraId="6C15668A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BF88C2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TODP0 - TODPLiquidacion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9263E6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TODP.TODPLiquidacion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B34440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F2318F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08078D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BA8BF2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3B9F5F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1EB4F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51046B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C7580B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2D706F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E3293C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55B608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D92055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5E3913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64747F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79FDBA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1AB9FC6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7756A6A2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C0BBBE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TODP1 - Presentador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933C1C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19D4EE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TODP.TODPLiquidacion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AE9A1F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FF6EEE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F37BE8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8960EA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FBBDD1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1D10A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TODP1.1.Contribuyente, TODP1.2.Representante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714759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6F0E28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22FFEE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Identificación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651FED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2AA56A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BCBD2C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623BB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49AAFE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2D5A2BF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66613B4D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2437C4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TODP1.1 - Contribuyente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202969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857010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D061C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14340F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C21314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06D5FC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F00BC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A44896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TODP1.1.1.NIF, TODP1.1.2.DIRe, TODP1.3.Nombre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256F29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A4F54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F6272A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Identificación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ED4F34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A86456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228E3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4B6941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B5D2F5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40ED304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3020E69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B2CE55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TODP1.1.1 - NIF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466474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TODP.Presentador.Contribuyente.NIF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2C9CD2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D13BB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FEDE6A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4B66D7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59204B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DCB807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30C914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42F0DA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NIF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C2C12B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1D7D0A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F6C510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96DB33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081230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52928B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70BF3C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609430C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Sí</w:t>
            </w:r>
          </w:p>
        </w:tc>
      </w:tr>
      <w:tr w:rsidR="007A40E2" w:rsidRPr="007A40E2" w14:paraId="178374FF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93AF89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TODP1.1.2 - DIRe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65F622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TODP.Presentador.Contribuyente.DIRe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444DC3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0C0FB5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6778FB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3D198D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AE1CB9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34B7AD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1B4DCB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284BC1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DIR3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93177A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9C7462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CDC6C1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F2B813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30963D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A48EE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AEAD1B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2D7C603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7FCF82D3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92C26C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TODP1.1.3 - Nombre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DD7F5A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TODP.Presentador.Contribuyente.Nombre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0F820A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A0A3CE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CE47C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A4598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D0BB81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5A2CDC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1BC5F2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29BF0B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36DFB7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D53CD8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301A09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079CEA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BFA307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823185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56A446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38CF327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20923B80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6DACE1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TODP1.1.4 - Email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3202DE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TODP.Presentador.Contribuyente.Email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48ECF7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5B8DC9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FF2A18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A2CC09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E5525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595E77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2DDC21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06B712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Email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4E0B09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AE49A3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FD947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345FB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148867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65C13D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57131C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428FC55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1ADFDFEC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5016D6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TODP1.1.5 - Teléfono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2CDC77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TODP.Presentador.Contribuyente.Teléfono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B6A77B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TODP.Presentador.Contribuyente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E7FDD5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5AD9B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A5F71F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AA2D4F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3D0B3D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890FE9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D84213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Teléfono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0FA97C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89D05C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AF4943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3E7D14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F54B14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F22409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013EEF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77C34FF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48BAB4A6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99E19E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TODP1.2 - Representante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154A37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70FB8F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137A01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E0478D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C9C2FE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EE5F8B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783A23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FF28C4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TODP1.2.1.NIF, TODP1.2.2.Nombre, TODP1.2.3.Apellido1, TODP.1.2.4.Apellido2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6FCE63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F17FAE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60181F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Identificación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2E3482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453EA3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24C347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0858AD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2BB97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3E75D00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0A7DCFCF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DB113C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TODP1.2.1 - NIF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D5194F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TODP.Presentador.Representante.NIF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DCC740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78B7E5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D7AB4F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77DF82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6A6748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AD1DA0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FA7119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75ACB2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NIF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12FCC2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1B847E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5ABC1F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93DCE0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316C7A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BF61FF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353FE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61E0DCA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4A52B77C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799E33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TODP1.2.2 - Nombre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5AE4C2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TODP.Presentador.Representante.Nombre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AAB931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335971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9F1413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760A7E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2158A6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F6C651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C6E257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8A0A42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5C6E03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994423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7BE416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8E0EAE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7A1A1B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EC61A4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0EC3C5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41D2AD6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7E369E1F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255E7F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lastRenderedPageBreak/>
              <w:t>TODP1.2.3 - Apellido1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4AFBE8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TODP.Presentador.Representante.Apellido1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52C05F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4ECFFC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31CB66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F8F64A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B15AB4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95843E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A325DB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942436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E20549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959984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D33551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555801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C1FFFE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2A8D29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1A432B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7339747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3B503725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05D0CD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TODP1.2.4 - Apellido2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CC163A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TODP.Presentador.Representante.Apellido2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218BA3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9AC7A7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8E300B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79E98D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A5AB8D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571DB4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BF553F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DA1D35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434759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B8FC6F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5D0086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8DE629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679A75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415254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A42B2A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3BCCCFE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641E80A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F604DB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TODP1.2.5 - Poder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C919BE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TODP.Presentador.Representante.Poder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916B88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7B1AAC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F21DE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47270B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55A630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79537B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287483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AEA2C9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URI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4BC6E3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BDC64D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116069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07B15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32A177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0D2FC0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¿?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91C9E6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69F5657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4368BD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96F736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TODP1.2.6 - Email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3AAA02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TODP.Presentador.Representante.Email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3CF471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E83E4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5A96D8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FDC929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BEF7E1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DC4579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0625BD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86ACC6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Email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42F8DC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F5E5A9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1C62A2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A4BBEB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6E0FE5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8A843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CFDCF7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100D2AF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239EB28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B9F9AD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TODP1.2.7 - Teléfono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03D48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TODP.Presentador.Representante.Teléfono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EFC9E7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TODP.Presentador.Representante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C577B1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31A0EF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9BD5CB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099E44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AD6E9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1B999E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853399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Teléfono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BD558E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2C08A3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F82E97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4489A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C6271D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7B5FD3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BC075C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2173601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65C119F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2FF3C1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TODP2 - Trámite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4B1210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A4D389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TODP.TODP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F80453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6ECBC8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308731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632EA4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A51975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5060" w:type="dxa"/>
            <w:gridSpan w:val="9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728637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TODP2.1 - SIA,TODP2.2 - Tributo,TODP2.3 - Actuación,TODP2.4 - DEH,TODP2.5 - Documento,TODP2.6 - Ejercicio,TODP2.7- Período,TODP2.8 - Fecha,TODP2.9 - Email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737B904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40617372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1CE26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TODP2.1 - SIA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0260A2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TODP.Tramite.SIA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E60E69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67A258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6FDEE8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6B4860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685FA5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CE14F2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AA6F89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29C90B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SIA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B6811E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N/A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2845DF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B16387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E80A4E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8438FA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2E9FF8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FD01E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063F2B0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Sí</w:t>
            </w:r>
          </w:p>
        </w:tc>
      </w:tr>
      <w:tr w:rsidR="007A40E2" w:rsidRPr="007A40E2" w14:paraId="4088B070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596AB1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TODP2.2 - Tributo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02E608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TODP.Tramite.Tributo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E3B014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8ACC48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6FC50A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8AFCA5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AF1A4F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351CD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4363B9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F98947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B85D66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Tasa de Ocupación del Dominio Público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87E260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A85856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F5B965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7A42E6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93E26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460845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45C20D6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34C9251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6E57CD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TODP2.3 - Actuación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F45C1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TODP.Tramite.Actuación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7DB97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34105A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0821E4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AD0380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1021AC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8CAA4B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11D67D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025132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Esquema Actuaciones: [CI, CR]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95C583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6B0434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3115E0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50C93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Comunicación Inicial, Contestación Requerimiento</w:t>
            </w: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245512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84701C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171C53D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46496871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3A0AFD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TODP2.4 - DEH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6874FD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TODP.Tramite.DEH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00F629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946397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61822F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7030EB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B575A6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134849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6CFD79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E8EBF4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54CF78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4C210F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411189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EEA0CD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3FA4FD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4D6DC5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1D0475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0E4D4B2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7040C3F3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9389D4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TODP2.5 - Documento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BF5972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TODP.Tramite.Documento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7B4E3D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195E18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DF924C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A05879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12F91C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8F79A8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DEF880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94258B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URI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152856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5D586B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B9E8F7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CF3D3A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10A8ED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D15E52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C0410D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4306A04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5298BC5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FAA258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TODP2.6 - Ejercicio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D6EADB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TODP.Tramite.Ejercicio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A0C3C0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268730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C117EC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6396AB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3BFC0D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E55506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9FA023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732E0E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[&lt;AAAA&gt;]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5EBB6B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ECE7E4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2CF28C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05D5DD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8E52C3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ADDF52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01385D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3802F97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9120C25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E3E53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TODP2.7- Período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2DDA1B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TODP.Tramite.Período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B90989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3A561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05482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7AF03C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0308E7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1D5FBF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92F136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E095CB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[1T,2T,3T,4T,1S,2S,RA]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836DF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C1AB8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81673D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068207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Trimestres, Semestres o ResumenAnual</w:t>
            </w: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B1F8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78F8CF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491FEE9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56D09065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468E51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TODP2.8 - Fecha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729BB0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TODP2.Tramite.Fecha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6F82E2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A0F030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CF314B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46F1BD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58B824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412F8E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6E468F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39C003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 xml:space="preserve">[&lt;AAAA-MM-DD&gt;T&lt;hh:mm:ss&gt;]. 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2C1C73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Descripción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F04D63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79A9CC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17E2D6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9FB1F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97B0E6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0E4255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5B79481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4CE9528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A40694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TODP2.9 - Email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4149D6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TODP2.Tramite.Email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5E7E1A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BC9481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3E08F6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8EB0B1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141CC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AA118C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141126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86C513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EMAIL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E74634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21077F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CD770A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00AD2A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3F27E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3EBAD3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3607FE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48179CD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44F33FAC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E0FDE2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TODP2.10 - NumExpediente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C9971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TODP2.Tramite.NumExpediente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DB5436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TODP.Tramite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DE803F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8EDC98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558A72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511EAC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B6872B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05A69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0D45C4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DE4C17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BDF02D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57CE1A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2EA6F1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6B44C2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DDB222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AB9264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5BFE46E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3ABE96B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2DE79F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TODP3 - Administracion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BF988F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TODP.Administracion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F093BB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TODP.TODP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0447AE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E2AC15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947D18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33E866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0B807F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068" w:type="dxa"/>
            <w:gridSpan w:val="2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F1799E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TODP3.1 - DIR3,TODP3.2 - Nombre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7780BB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36601F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B6600B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336A88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2ECFFE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92293E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E91650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5ADDA26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69BAA98C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526507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TODP3.1 - DIR3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9EAA21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TODP.Administracion.DIR3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9599F6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TODP.Destinatario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E460C9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5DB73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64AF2A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44BCE8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B3FF64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FD8C43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9EC161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DIR3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11885B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4CD8B2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C60255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F847F9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91EFA8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47CE11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5D3C1A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27B8705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Sí</w:t>
            </w:r>
          </w:p>
        </w:tc>
      </w:tr>
      <w:tr w:rsidR="007A40E2" w:rsidRPr="007A40E2" w14:paraId="5D6B1874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90747E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lastRenderedPageBreak/>
              <w:t>TODP3.2 - Nombre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75F81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TODP.Administracion.Nombre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E998A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TODP.Destinatario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D91BA9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AB146F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DFB7C0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3D197F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ABEE75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8BEF3C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09B62C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429305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B2FDDA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657596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00CFF4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DA96E1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7F0CCB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BEA149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0E25DBB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382345CC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096089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TODP3.3 - NIF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6D4324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TODP.Administracion.NIF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59A2BF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TODP.Destinatario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6951F2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1D83FF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01B57D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4060DC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74A6A7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E46B9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201726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C8DAEF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27DBDE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EC0D8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6CFEB7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18995D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6462FD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Sí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DA7650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69DC01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DE29A22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39668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TODP4 - Negocio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11FCE9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46615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TODP.TODP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311D7B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E8D963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8C8BD3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81066E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849CB3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4031" w:type="dxa"/>
            <w:gridSpan w:val="6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07036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TODP4.1 - Ingresos,TODP4.2 - Gastos Deducibles,TODP4.3 - Base Imponible,TODP4.4 - Cuota Tributaria, TODP4.5.Resolucion</w:t>
            </w: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21B81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434C31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72D6B3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24766A8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51209158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93FEE4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TODP4.1 - Ingresos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4A60C2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TODP.Negocio.Ingresos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12D7B5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8E117B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E5784E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E93297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EAAFBB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086B55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AE827C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74B786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Número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555EEC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CB6952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3849D8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19B61B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1015D8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C6D39D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551B3D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5A6E362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3B8550F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974BDA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TODP4.2 - Gastos Deducibles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E9B891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TODP.Negocio.Gastos Deducibles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FE78C7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104081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B7655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0B7DF0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8F2CA6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54BD59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94DEB9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D5371E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Número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46267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F3E010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8BBA34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172790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F9A1D3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660BE9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87CBCB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046076C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07C6280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1A3C17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TODP4.3 - Base Imponible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242DC9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TODP.Negocio.Base Imponible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A1529D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8F3755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EE9B96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77AE86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133A46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53687C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803325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DAFCA3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Número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BEC7A7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A22F7B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A85916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26F9A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F45279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B0D434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6DA7F5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2754EFB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0E1BB74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EDB6C0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TODP4.4 - Cuota Tributaria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2CBB30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TODP.Negocio.Cuota Tributaria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BA066E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399088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0E84A7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7E0FB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12D16A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9CAC93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39697A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343C20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Número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9762A8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54B580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67D48E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F63AF6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E4BB25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905A3D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86B996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52E972B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2BCFD0C1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EE1321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TODP4.5 - Resolucion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04BC49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5C0E68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459EDC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9034EA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EDE77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7D6798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A00348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4ED44F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D7B8A9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7810BB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CAC2AA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3EE009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C99A79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DBEA2D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57B112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D4D5A8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3B97060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19DE9BF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E88402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TODP4.5.1 - Fecha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C11C8F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TOPD.Negocio.Resolucion.Fecha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156CF4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5A5E5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7E2D68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44CAA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C2740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8D3F5C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6897BB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35BBE7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 xml:space="preserve">[&lt;AAAA-MM-DD&gt;T&lt;hh:mm:ss&gt;]. 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1A6FB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DFCEC4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B01C1D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D76A26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B41644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6B17C7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00DEB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666DB5A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525E5421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C12137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TODP4.5.2 - Nombre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C81BA0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TOPD.Negocio.Resolucion.Nombre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7CAC42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8D3368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9DF9B4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254E28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D828EC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4AB9A2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6455CF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E0CAD0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755AC1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CB7FF6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9CE788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0F27F8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2141A0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836E47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CE7A15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6D257DF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3D86CC6A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7CE694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TODP4.5.2 - Apellido1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4AA9DB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TOPD.Negocio.Resolucion.Apellido1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071612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8A8EFA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3FFD03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7E4687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088487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750CFA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3B0C0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E48C0D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81A7AE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AE8D8D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1D468E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CA59B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9E0807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4AE58C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F8FF56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30C62BB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3F8D6E9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75CD1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TODP4.5.3 - Apellido2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ED66C2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TOPD.Negocio.Resolucion.Apellido2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3003E0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B588A4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BDA9A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D230A4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44DCA4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7564ED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51ADB9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26792D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A7816A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C0A878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AFECF2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5D644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5DCED9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793354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570084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45FABF6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7F6C470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FD87C1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TODP4.5.4 - Cargo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F1D1AA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TOPD.Negocio.Resolucion.Cargo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95520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D781DE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41FCE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332BB9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C52C1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DC7065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74A45A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75E73E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D9232A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CADE53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63E6F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440C96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47AFB2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D023B1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9A0FFF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3087E20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21BDB57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DAE8B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TODP4.5.5 - Documento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91F4B4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TOPD.Negocio.Resolucion.Documento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0982B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8C210F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811FEC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5687F8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4F0FFF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C994B4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FE8B4E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D702BC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URI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34B431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95970C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747FDD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FE338B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B03A31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595794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259BE2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37DFDA1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3A9FE89A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E7504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TODP4.5.6 - Importe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6006B0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TOPD.Negocio.Resolucion.Importe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917735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3B1A5F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13956F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FC91D5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177588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A8B857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58CD57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6E61F5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Número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4DB9D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1DED6D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CE5452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299FE5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8BE68E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BCA587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CB0366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3F22F1B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6029570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3AB1DB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TODP4.5.7 - CC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6A07B3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TOPD.Negocio.Resolucion.CC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5A365C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884BF7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7B1095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DC0771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BA6A74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36CC99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F7E0AB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6E8B3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Cuenta Bancaria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8DF8A4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2C9BD8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79EE1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0AFCBB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326D96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46F83B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51CAC8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081418A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5C96C579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C2BAA3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TODP4.5.8 - IBAN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22D4F6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TOPD.Negocio.Resolucion.IBAN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F4CEDD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4CA0B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7BDE63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B34C69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B41C3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2AB908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AD51C8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CB466C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IBAN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FD86E5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D0DA50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F7F969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C1E5E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9E3CE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292CC7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4BB091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765958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721D0A4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F22AAE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TODP4.5.9 - Plazo Pago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003CBC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TOPD.Negocio.Resolucion.Plazo Pago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ADFD1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9D34D1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A4187B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F00EDF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1B71A3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874996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2CCDF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DE6719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Número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CA1A20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FD1A20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84215C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A4B2DD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12A7F5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663746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075B12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0E19997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15B3B5C2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74DC59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TODP4.5.10 - Referencia de pago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DA243E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TOPD.Negocio.Resolucion.Referencia de pago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5135C5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TODP.Negocio.Resolucion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2CA5FA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8C37E2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ECB6FC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D8B84A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C6BC07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CC3AD5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9DD8BB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Número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346C72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D52CF7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CED561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80D0FD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8268B3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9B6C4F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3AE523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61946A0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133CAE23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A507D97" w14:textId="28A1A6EE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 xml:space="preserve"> - Liquidación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CEEC07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E5AF21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207550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557EC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0ED699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EF8A2C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3891C0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055AA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E737E8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FCA495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E6D531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31A9A0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E943A1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78550A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0732D6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DA14DA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702D41A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5EC2CF4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9F141F8" w14:textId="0A45D1D8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lastRenderedPageBreak/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.1 - FechaPago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77C84F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TOPD.Negocio.Liquidacion.FechaPago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F0692B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A38125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4233CA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6DA0E3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65EFA5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4B5B5B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0901A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690304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499669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C00A0C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F25569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678171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81B337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69208B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B66107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55920B2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7C3D11A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296B726" w14:textId="2F7FF63B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.2 - Importe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AFD1D4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TOPD.Negocio.Liquidacion.Importe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B58D2A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995604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29B4BF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ABD800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2E60CE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E88AFE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CD162D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7CB051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28E20F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1944C2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13A172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C976A1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7CCF6C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D23F9A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82D287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57769B9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44BBB37E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DDB2D47" w14:textId="2FDA59C5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.3 - Concepto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C64CF2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TOPD.Negocio.Liquidacion.Concepto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26B637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CD34F2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19068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BFE49B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5E88C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6B24D4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14C6B7F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BC4CFE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SIA_NIF_AAAA_TT_DIR3DESTINO</w:t>
            </w: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8680EC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B0AF36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E28A8D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8E1DB3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BA436D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D85F6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08D0939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2E1D20A8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FE1D139" w14:textId="1B86047A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</w:t>
            </w:r>
            <w:r w:rsidR="00936639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4.6</w:t>
            </w: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.4 - NumeroJustificante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524597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TOPD.Negocio.Liquidacion.NumeroJustificante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E89EBE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C2BA81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1DBD2B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92FB35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5FECF1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B5A923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A76BE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DE300F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8A8D66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035082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D85990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94B8BF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2462D7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94B362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5693CA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71498FC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2C650050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E7A8767" w14:textId="1EE5F449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.5 - CC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DA9410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TOPD.Negocio.Liquidacion.CC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12F7AE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58A20C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F18ECC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A4070C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532432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446FB0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17DB9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84FBFE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68162B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CB5255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C65E45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BF62C8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E1837F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227427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72E8DC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3000DE8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460ADCD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9C9C3CC" w14:textId="11BD4AA4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.6 - IBAN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C692E9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TOPD.Negocio.Liquidacion.IBAN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A2C592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264026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1BD2B3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12EE7B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F7C4D6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B2D7F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E13ED5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D849E1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3B275E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062280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0A6CA8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9B5183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36E575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B194CE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4A8A29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347194A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3773810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BF850DE" w14:textId="44FBFC63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 xml:space="preserve">.7 </w:t>
            </w: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–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 xml:space="preserve"> Titular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042FB6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TOPD.Negocio.Liquidacion.Titular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4B2DB4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C933C9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78821C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C83CC1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X</w:t>
            </w: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7398C8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5D1391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688E32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C8026D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B5FCD5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5547EF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597516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919979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5D9027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13FCF0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7F5B3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37E4E6C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39668468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FAEA5BC" w14:textId="759A0418" w:rsidR="007A40E2" w:rsidRPr="007A40E2" w:rsidRDefault="00936639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TODP4.6</w:t>
            </w:r>
            <w:r w:rsidR="007A40E2"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.8 - Documento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A191B0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TOPD.Negocio.Liquidacion.Documento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02EAD9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TODP.Negocio.Liquidacion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9C64FB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7ED4C3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590C16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D59535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6DEAA7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73E4EC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C600C7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BCA2C1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60A041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94B8D6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27C278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004EC4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7E8A3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2C5F15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0EC868B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1D422C55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CF265A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TODP4.7 - Metadatos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A3238F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TODP.Negocio.Metadatos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3BF52C3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DD6DB2D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6A3537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C601D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140F6A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4447B2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2068" w:type="dxa"/>
            <w:gridSpan w:val="2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235707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TODP4.7.1, TODP4.7.2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472780C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18366E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9103A6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E9D9D5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FAA129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A97C14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ADDE6B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1DE9613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9645D27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EAB6DB5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TODP4.7.1 - Nombre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619C6E6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TODP.Negocio.Metadatos.Nombre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944415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TODP.Negocio.Metadatos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A8C150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4B0F86A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DACCD91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9570FE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7C0A4E7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271DA0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4C5A5B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D743F2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2FA72F1B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BC6EF4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59D67A2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1418A0E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0FE09D8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FFF1CC" w:fill="FFF1CC"/>
            <w:noWrap/>
            <w:vAlign w:val="bottom"/>
            <w:hideMark/>
          </w:tcPr>
          <w:p w14:paraId="3706EF1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FFF1CC" w:fill="FFF1CC"/>
            <w:noWrap/>
            <w:vAlign w:val="bottom"/>
            <w:hideMark/>
          </w:tcPr>
          <w:p w14:paraId="200F636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02707E2C" w14:textId="77777777" w:rsidTr="007A40E2">
        <w:trPr>
          <w:trHeight w:val="285"/>
        </w:trPr>
        <w:tc>
          <w:tcPr>
            <w:tcW w:w="638" w:type="dxa"/>
            <w:tcBorders>
              <w:top w:val="single" w:sz="4" w:space="0" w:color="FFD566"/>
              <w:left w:val="single" w:sz="4" w:space="0" w:color="FFD566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A565DA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auto"/>
                <w:sz w:val="14"/>
                <w:szCs w:val="20"/>
                <w:lang w:eastAsia="es-ES"/>
              </w:rPr>
              <w:t>TODP4.7.2 - Valor</w:t>
            </w:r>
          </w:p>
        </w:tc>
        <w:tc>
          <w:tcPr>
            <w:tcW w:w="842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E53001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TODP.Negocio.Metadatos.Valor</w:t>
            </w: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137764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TODP.Negocio.Metadatos</w:t>
            </w:r>
          </w:p>
        </w:tc>
        <w:tc>
          <w:tcPr>
            <w:tcW w:w="30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7C2632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762C0B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Documento</w:t>
            </w: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286DA89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5A7A6EE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25FD18B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No</w:t>
            </w:r>
          </w:p>
        </w:tc>
        <w:tc>
          <w:tcPr>
            <w:tcW w:w="1443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9A9EFEE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7667A4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definir</w:t>
            </w:r>
          </w:p>
        </w:tc>
        <w:tc>
          <w:tcPr>
            <w:tcW w:w="72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16E5A67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018EDC0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  <w:t>Sin compatibilidad</w:t>
            </w:r>
          </w:p>
        </w:tc>
        <w:tc>
          <w:tcPr>
            <w:tcW w:w="276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09B3A94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3E231CC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6414348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762FA290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nil"/>
            </w:tcBorders>
            <w:shd w:val="clear" w:color="auto" w:fill="auto"/>
            <w:noWrap/>
            <w:vAlign w:val="bottom"/>
            <w:hideMark/>
          </w:tcPr>
          <w:p w14:paraId="1C7C5CC2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  <w:tc>
          <w:tcPr>
            <w:tcW w:w="280" w:type="dxa"/>
            <w:tcBorders>
              <w:top w:val="single" w:sz="4" w:space="0" w:color="FFD566"/>
              <w:left w:val="nil"/>
              <w:bottom w:val="single" w:sz="4" w:space="0" w:color="FFD566"/>
              <w:right w:val="single" w:sz="4" w:space="0" w:color="FFD566"/>
            </w:tcBorders>
            <w:shd w:val="clear" w:color="auto" w:fill="auto"/>
            <w:noWrap/>
            <w:vAlign w:val="bottom"/>
            <w:hideMark/>
          </w:tcPr>
          <w:p w14:paraId="69FF4E6C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  <w:r w:rsidRPr="007A40E2"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  <w:t>No</w:t>
            </w:r>
          </w:p>
        </w:tc>
      </w:tr>
      <w:tr w:rsidR="007A40E2" w:rsidRPr="007A40E2" w14:paraId="65DF6DCF" w14:textId="77777777" w:rsidTr="007A40E2">
        <w:trPr>
          <w:trHeight w:val="285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17E8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color w:val="auto"/>
                <w:sz w:val="14"/>
                <w:szCs w:val="22"/>
                <w:lang w:eastAsia="es-E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E26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0A1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2CA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6034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6F73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705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59BF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F1B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DB8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3A8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5C9B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810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81ED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2F65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2EC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502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A31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  <w:tr w:rsidR="007A40E2" w:rsidRPr="007A40E2" w14:paraId="48BE7AA0" w14:textId="77777777" w:rsidTr="007A40E2">
        <w:trPr>
          <w:trHeight w:val="285"/>
        </w:trPr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859A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u w:val="single"/>
                <w:lang w:eastAsia="es-ES"/>
              </w:rPr>
            </w:pPr>
            <w:r w:rsidRPr="007A40E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u w:val="single"/>
                <w:lang w:eastAsia="es-ES"/>
              </w:rPr>
              <w:t>NOTAS: Este documento ha de ser firmado en XADES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31E6" w14:textId="77777777" w:rsidR="007A40E2" w:rsidRPr="007A40E2" w:rsidRDefault="007A40E2" w:rsidP="007A40E2">
            <w:pPr>
              <w:spacing w:before="0"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u w:val="single"/>
                <w:lang w:eastAsia="es-ES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0CF1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187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9AA6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D36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156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A580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1477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E18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297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E598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D282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9A59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08FE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EF1C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F92A" w14:textId="77777777" w:rsidR="007A40E2" w:rsidRPr="007A40E2" w:rsidRDefault="007A40E2" w:rsidP="007A40E2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20"/>
                <w:lang w:eastAsia="es-ES"/>
              </w:rPr>
            </w:pPr>
          </w:p>
        </w:tc>
      </w:tr>
    </w:tbl>
    <w:p w14:paraId="14DFF108" w14:textId="67B0F6A8" w:rsidR="007A40E2" w:rsidRDefault="007A40E2" w:rsidP="00A108DB"/>
    <w:p w14:paraId="0AF3894A" w14:textId="770EF338" w:rsidR="007A40E2" w:rsidRDefault="007A40E2" w:rsidP="00A108DB"/>
    <w:p w14:paraId="7FA1B38B" w14:textId="77777777" w:rsidR="00A108DB" w:rsidRPr="0008068D" w:rsidRDefault="00A108DB" w:rsidP="00A108DB"/>
    <w:p w14:paraId="2D908CAE" w14:textId="77777777" w:rsidR="00C16177" w:rsidRDefault="00C16177" w:rsidP="00C16177">
      <w:pPr>
        <w:pStyle w:val="Listaconvietas"/>
        <w:numPr>
          <w:ilvl w:val="0"/>
          <w:numId w:val="0"/>
        </w:numPr>
      </w:pPr>
    </w:p>
    <w:sectPr w:rsidR="00C16177" w:rsidSect="007A40E2">
      <w:pgSz w:w="16839" w:h="11907" w:orient="landscape"/>
      <w:pgMar w:top="1008" w:right="1901" w:bottom="1008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2CE5B" w14:textId="77777777" w:rsidR="005F46C3" w:rsidRDefault="005F46C3">
      <w:pPr>
        <w:spacing w:before="0" w:after="0" w:line="240" w:lineRule="auto"/>
      </w:pPr>
      <w:r>
        <w:separator/>
      </w:r>
    </w:p>
    <w:p w14:paraId="36C353B9" w14:textId="77777777" w:rsidR="005F46C3" w:rsidRDefault="005F46C3"/>
  </w:endnote>
  <w:endnote w:type="continuationSeparator" w:id="0">
    <w:p w14:paraId="1E04FE42" w14:textId="77777777" w:rsidR="005F46C3" w:rsidRDefault="005F46C3">
      <w:pPr>
        <w:spacing w:before="0" w:after="0" w:line="240" w:lineRule="auto"/>
      </w:pPr>
      <w:r>
        <w:continuationSeparator/>
      </w:r>
    </w:p>
    <w:p w14:paraId="409AFC53" w14:textId="77777777" w:rsidR="005F46C3" w:rsidRDefault="005F46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dia New">
    <w:altName w:val="Leelawadee UI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2223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1A65F3" w14:textId="54130FB0" w:rsidR="005F46C3" w:rsidRDefault="005F46C3">
        <w:pPr>
          <w:pStyle w:val="Piedep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113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2975D" w14:textId="2DBB20BB" w:rsidR="005F46C3" w:rsidRPr="007E113A" w:rsidRDefault="007E113A">
    <w:pPr>
      <w:pStyle w:val="Piedepgina"/>
      <w:rPr>
        <w:lang w:val="es-ES_tradnl"/>
      </w:rPr>
    </w:pPr>
    <w:r>
      <w:rPr>
        <w:lang w:val="es-ES_tradnl"/>
      </w:rPr>
      <w:t>Tasas de Ocupación de Dominio Público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B33FF" w14:textId="77777777" w:rsidR="005F46C3" w:rsidRDefault="005F46C3">
      <w:pPr>
        <w:spacing w:before="0" w:after="0" w:line="240" w:lineRule="auto"/>
      </w:pPr>
      <w:r>
        <w:separator/>
      </w:r>
    </w:p>
    <w:p w14:paraId="2FE6A5DD" w14:textId="77777777" w:rsidR="005F46C3" w:rsidRDefault="005F46C3"/>
  </w:footnote>
  <w:footnote w:type="continuationSeparator" w:id="0">
    <w:p w14:paraId="4A8ED88A" w14:textId="77777777" w:rsidR="005F46C3" w:rsidRDefault="005F46C3">
      <w:pPr>
        <w:spacing w:before="0" w:after="0" w:line="240" w:lineRule="auto"/>
      </w:pPr>
      <w:r>
        <w:continuationSeparator/>
      </w:r>
    </w:p>
    <w:p w14:paraId="651611CE" w14:textId="77777777" w:rsidR="005F46C3" w:rsidRDefault="005F46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26768" w14:textId="3355CB63" w:rsidR="005F46C3" w:rsidRPr="007E113A" w:rsidRDefault="007E113A" w:rsidP="007E113A">
    <w:pPr>
      <w:jc w:val="right"/>
      <w:rPr>
        <w:rFonts w:ascii="Garamond" w:hAnsi="Garamond"/>
        <w:color w:val="0072C6" w:themeColor="accent1"/>
        <w:sz w:val="52"/>
        <w14:reflection w14:blurRad="6350" w14:stA="31000" w14:stPos="0" w14:endA="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</w:pPr>
    <w:r w:rsidRPr="007E113A">
      <w:rPr>
        <w:rFonts w:ascii="Garamond" w:hAnsi="Garamond"/>
        <w:color w:val="0072C6" w:themeColor="accent1"/>
        <w:sz w:val="52"/>
        <w14:reflection w14:blurRad="6350" w14:stA="31000" w14:stPos="0" w14:endA="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w:t>F(d</w:t>
    </w:r>
    <w:r w:rsidRPr="007E113A">
      <w:rPr>
        <w:rFonts w:ascii="Garamond" w:hAnsi="Garamond"/>
        <w:color w:val="0072C6" w:themeColor="accent1"/>
        <w:sz w:val="52"/>
        <w:vertAlign w:val="superscript"/>
        <w14:reflection w14:blurRad="6350" w14:stA="31000" w14:stPos="0" w14:endA="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w:t>e</w:t>
    </w:r>
    <w:r w:rsidRPr="007E113A">
      <w:rPr>
        <w:rFonts w:ascii="Garamond" w:hAnsi="Garamond"/>
        <w:color w:val="0072C6" w:themeColor="accent1"/>
        <w:sz w:val="52"/>
        <w14:reflection w14:blurRad="6350" w14:stA="31000" w14:stPos="0" w14:endA="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90CC1C"/>
    <w:lvl w:ilvl="0">
      <w:start w:val="1"/>
      <w:numFmt w:val="decimal"/>
      <w:lvlText w:val="%1."/>
      <w:lvlJc w:val="left"/>
      <w:pPr>
        <w:tabs>
          <w:tab w:val="num" w:pos="605"/>
        </w:tabs>
        <w:ind w:left="864" w:hanging="25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81DAE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4B5103"/>
    <w:multiLevelType w:val="hybridMultilevel"/>
    <w:tmpl w:val="AD0AC416"/>
    <w:lvl w:ilvl="0" w:tplc="1A6C1D10">
      <w:start w:val="1"/>
      <w:numFmt w:val="decimal"/>
      <w:pStyle w:val="Listaconnmeros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A5CC2"/>
    <w:multiLevelType w:val="hybridMultilevel"/>
    <w:tmpl w:val="9CEC9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272CE"/>
    <w:multiLevelType w:val="hybridMultilevel"/>
    <w:tmpl w:val="346EC5CE"/>
    <w:lvl w:ilvl="0" w:tplc="A78C31DE">
      <w:start w:val="1"/>
      <w:numFmt w:val="bullet"/>
      <w:lvlText w:val=""/>
      <w:lvlJc w:val="left"/>
      <w:pPr>
        <w:tabs>
          <w:tab w:val="num" w:pos="605"/>
        </w:tabs>
        <w:ind w:left="864" w:hanging="25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36103"/>
    <w:multiLevelType w:val="hybridMultilevel"/>
    <w:tmpl w:val="1BB41C72"/>
    <w:lvl w:ilvl="0" w:tplc="2908863E">
      <w:start w:val="1"/>
      <w:numFmt w:val="bullet"/>
      <w:lvlText w:val=""/>
      <w:lvlJc w:val="left"/>
      <w:pPr>
        <w:tabs>
          <w:tab w:val="num" w:pos="864"/>
        </w:tabs>
        <w:ind w:left="864" w:hanging="25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71AB0"/>
    <w:multiLevelType w:val="hybridMultilevel"/>
    <w:tmpl w:val="049AC6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A2A5B"/>
    <w:multiLevelType w:val="hybridMultilevel"/>
    <w:tmpl w:val="4AD2C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E43B7"/>
    <w:multiLevelType w:val="hybridMultilevel"/>
    <w:tmpl w:val="075C9506"/>
    <w:lvl w:ilvl="0" w:tplc="610C7A40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E59C1"/>
    <w:multiLevelType w:val="hybridMultilevel"/>
    <w:tmpl w:val="F7C84D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375E8"/>
    <w:multiLevelType w:val="hybridMultilevel"/>
    <w:tmpl w:val="3A0C4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61C5D"/>
    <w:multiLevelType w:val="hybridMultilevel"/>
    <w:tmpl w:val="9F4A8688"/>
    <w:lvl w:ilvl="0" w:tplc="ABE84DA8">
      <w:start w:val="1"/>
      <w:numFmt w:val="bullet"/>
      <w:pStyle w:val="Listaconvieta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11"/>
  </w:num>
  <w:num w:numId="9">
    <w:abstractNumId w:val="6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8E"/>
    <w:rsid w:val="0008068D"/>
    <w:rsid w:val="00093FF7"/>
    <w:rsid w:val="00167C90"/>
    <w:rsid w:val="0024528E"/>
    <w:rsid w:val="003366B1"/>
    <w:rsid w:val="005F46C3"/>
    <w:rsid w:val="005F6C72"/>
    <w:rsid w:val="00633E38"/>
    <w:rsid w:val="0066457B"/>
    <w:rsid w:val="00690667"/>
    <w:rsid w:val="006A3053"/>
    <w:rsid w:val="006F48DD"/>
    <w:rsid w:val="007A40E2"/>
    <w:rsid w:val="007E113A"/>
    <w:rsid w:val="008B12D0"/>
    <w:rsid w:val="00936639"/>
    <w:rsid w:val="00A07313"/>
    <w:rsid w:val="00A108DB"/>
    <w:rsid w:val="00A34F0D"/>
    <w:rsid w:val="00AC31FB"/>
    <w:rsid w:val="00B82110"/>
    <w:rsid w:val="00B85CFD"/>
    <w:rsid w:val="00C16177"/>
    <w:rsid w:val="00CB3F48"/>
    <w:rsid w:val="00E03BF9"/>
    <w:rsid w:val="00E13190"/>
    <w:rsid w:val="00F3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DB4E772"/>
  <w15:chartTrackingRefBased/>
  <w15:docId w15:val="{B047E9A2-65E9-C84C-9154-203943D1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57B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after="200" w:line="240" w:lineRule="auto"/>
      <w:outlineLvl w:val="1"/>
    </w:pPr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after="240" w:line="240" w:lineRule="auto"/>
      <w:contextualSpacing/>
      <w:outlineLvl w:val="2"/>
    </w:pPr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C31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494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72C6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after="180" w:line="240" w:lineRule="auto"/>
      <w:outlineLvl w:val="6"/>
    </w:pPr>
    <w:rPr>
      <w:rFonts w:asciiTheme="majorHAnsi" w:eastAsiaTheme="majorEastAsia" w:hAnsiTheme="majorHAnsi" w:cstheme="majorBidi"/>
      <w:i/>
      <w:iCs/>
      <w:spacing w:val="1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180" w:line="240" w:lineRule="auto"/>
      <w:outlineLvl w:val="7"/>
    </w:pPr>
    <w:rPr>
      <w:rFonts w:asciiTheme="majorHAnsi" w:eastAsiaTheme="majorEastAsia" w:hAnsiTheme="majorHAnsi" w:cstheme="majorBidi"/>
      <w:spacing w:val="14"/>
      <w:sz w:val="26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180" w:line="240" w:lineRule="auto"/>
      <w:outlineLvl w:val="8"/>
    </w:pPr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color w:val="0072C6" w:themeColor="accent1"/>
      <w:sz w:val="34"/>
    </w:rPr>
  </w:style>
  <w:style w:type="character" w:customStyle="1" w:styleId="Ttulo4Car">
    <w:name w:val="Título 4 Car"/>
    <w:basedOn w:val="Fuentedeprrafopredeter"/>
    <w:link w:val="Ttulo4"/>
    <w:uiPriority w:val="9"/>
    <w:rsid w:val="00AC31FB"/>
    <w:rPr>
      <w:rFonts w:asciiTheme="majorHAnsi" w:eastAsiaTheme="majorEastAsia" w:hAnsiTheme="majorHAnsi" w:cstheme="majorBidi"/>
      <w:i/>
      <w:iCs/>
      <w:color w:val="005494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spacing w:val="14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spacing w:val="14"/>
      <w:sz w:val="26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table" w:styleId="Tabladelista3-nfasis1">
    <w:name w:val="List Table 3 Accent 1"/>
    <w:basedOn w:val="Tabla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paragraph" w:styleId="Ttulo">
    <w:name w:val="Title"/>
    <w:basedOn w:val="Normal"/>
    <w:next w:val="Normal"/>
    <w:link w:val="TtuloCar"/>
    <w:uiPriority w:val="10"/>
    <w:semiHidden/>
    <w:unhideWhenUsed/>
    <w:qFormat/>
    <w:pPr>
      <w:spacing w:before="0" w:after="0" w:line="240" w:lineRule="auto"/>
      <w:contextualSpacing/>
    </w:pPr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pPr>
      <w:numPr>
        <w:ilvl w:val="1"/>
      </w:numPr>
      <w:spacing w:before="0" w:after="720" w:line="240" w:lineRule="auto"/>
      <w:contextualSpacing/>
    </w:pPr>
    <w:rPr>
      <w:rFonts w:eastAsiaTheme="minorEastAsia"/>
      <w:caps/>
      <w:sz w:val="40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semiHidden/>
    <w:rPr>
      <w:rFonts w:eastAsiaTheme="minorEastAsia"/>
      <w:caps/>
      <w:sz w:val="40"/>
      <w:szCs w:val="22"/>
    </w:rPr>
  </w:style>
  <w:style w:type="paragraph" w:styleId="Listaconvietas">
    <w:name w:val="List Bullet"/>
    <w:basedOn w:val="Normal"/>
    <w:uiPriority w:val="31"/>
    <w:qFormat/>
    <w:pPr>
      <w:numPr>
        <w:numId w:val="8"/>
      </w:numPr>
      <w:contextualSpacing/>
    </w:pPr>
  </w:style>
  <w:style w:type="paragraph" w:styleId="Encabezado">
    <w:name w:val="header"/>
    <w:basedOn w:val="Normal"/>
    <w:link w:val="EncabezadoCar"/>
    <w:uiPriority w:val="99"/>
    <w:unhideWhenUsed/>
    <w:pPr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F98723" w:themeColor="accent2"/>
      <w:sz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rFonts w:asciiTheme="majorHAnsi" w:hAnsiTheme="majorHAnsi"/>
      <w:i/>
      <w:iCs/>
      <w:color w:val="F98723" w:themeColor="accent2"/>
      <w:sz w:val="32"/>
    </w:rPr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usinessPaper">
    <w:name w:val="Business Paper"/>
    <w:basedOn w:val="Tablanormal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0072C6" w:themeColor="accent1"/>
        <w:sz w:val="24"/>
      </w:rPr>
    </w:tblStylePr>
    <w:tblStylePr w:type="nwCell">
      <w:pPr>
        <w:wordWrap/>
        <w:jc w:val="left"/>
      </w:pPr>
    </w:tblStylePr>
  </w:style>
  <w:style w:type="character" w:styleId="nfasissutil">
    <w:name w:val="Subtle Emphasis"/>
    <w:basedOn w:val="Fuentedeprrafopredeter"/>
    <w:uiPriority w:val="19"/>
    <w:semiHidden/>
    <w:unhideWhenUsed/>
    <w:qFormat/>
    <w:rPr>
      <w:i/>
      <w:iCs/>
      <w:color w:val="0072C6" w:themeColor="accent1"/>
    </w:rPr>
  </w:style>
  <w:style w:type="character" w:styleId="nfasis">
    <w:name w:val="Emphasis"/>
    <w:basedOn w:val="Fuentedeprrafopredeter"/>
    <w:uiPriority w:val="20"/>
    <w:semiHidden/>
    <w:unhideWhenUsed/>
    <w:qFormat/>
    <w:rPr>
      <w:i/>
      <w:iCs/>
      <w:color w:val="F98723" w:themeColor="accent2"/>
    </w:rPr>
  </w:style>
  <w:style w:type="character" w:styleId="nfasisintenso">
    <w:name w:val="Intense Emphasis"/>
    <w:basedOn w:val="Fuentedeprrafopredeter"/>
    <w:uiPriority w:val="21"/>
    <w:semiHidden/>
    <w:unhideWhenUsed/>
    <w:qFormat/>
    <w:rPr>
      <w:b/>
      <w:i/>
      <w:iCs/>
      <w:color w:val="F98723" w:themeColor="accent2"/>
    </w:rPr>
  </w:style>
  <w:style w:type="character" w:styleId="Textoennegrita">
    <w:name w:val="Strong"/>
    <w:basedOn w:val="Fuentedeprrafopredeter"/>
    <w:uiPriority w:val="22"/>
    <w:semiHidden/>
    <w:unhideWhenUsed/>
    <w:qFormat/>
    <w:rPr>
      <w:b/>
      <w:bCs/>
      <w:color w:val="0072C6" w:themeColor="accent1"/>
    </w:rPr>
  </w:style>
  <w:style w:type="character" w:styleId="Referenciasutil">
    <w:name w:val="Subtle Reference"/>
    <w:basedOn w:val="Fuentedeprrafopredeter"/>
    <w:uiPriority w:val="31"/>
    <w:semiHidden/>
    <w:unhideWhenUsed/>
    <w:qFormat/>
    <w:rPr>
      <w:i/>
      <w:caps/>
      <w:smallCaps w:val="0"/>
      <w:color w:val="0072C6" w:themeColor="accent1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character" w:styleId="Ttulodellibro">
    <w:name w:val="Book Title"/>
    <w:basedOn w:val="Fuentedeprrafopredeter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 w:line="240" w:lineRule="auto"/>
    </w:pPr>
    <w:rPr>
      <w:color w:val="FFFFFF" w:themeColor="background1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FFFFFF" w:themeColor="background1"/>
      <w:shd w:val="clear" w:color="auto" w:fill="0072C6" w:themeFill="accent1"/>
    </w:rPr>
  </w:style>
  <w:style w:type="paragraph" w:styleId="Cita">
    <w:name w:val="Quote"/>
    <w:basedOn w:val="Normal"/>
    <w:next w:val="Normal"/>
    <w:link w:val="CitaCar"/>
    <w:uiPriority w:val="29"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0072C6" w:themeColor="accent1"/>
      <w:sz w:val="40"/>
    </w:rPr>
  </w:style>
  <w:style w:type="character" w:customStyle="1" w:styleId="CitaCar">
    <w:name w:val="Cita Car"/>
    <w:basedOn w:val="Fuentedeprrafopredeter"/>
    <w:link w:val="Cita"/>
    <w:uiPriority w:val="29"/>
    <w:rPr>
      <w:rFonts w:asciiTheme="majorHAnsi" w:hAnsiTheme="majorHAnsi"/>
      <w:i/>
      <w:iCs/>
      <w:color w:val="0072C6" w:themeColor="accent1"/>
      <w:sz w:val="40"/>
    </w:rPr>
  </w:style>
  <w:style w:type="paragraph" w:styleId="Listaconnmeros">
    <w:name w:val="List Number"/>
    <w:basedOn w:val="Normal"/>
    <w:uiPriority w:val="32"/>
    <w:qFormat/>
    <w:pPr>
      <w:numPr>
        <w:numId w:val="7"/>
      </w:numPr>
      <w:contextualSpacing/>
    </w:pPr>
  </w:style>
  <w:style w:type="paragraph" w:styleId="Prrafodelista">
    <w:name w:val="List Paragraph"/>
    <w:basedOn w:val="Normal"/>
    <w:uiPriority w:val="34"/>
    <w:unhideWhenUsed/>
    <w:qFormat/>
    <w:rsid w:val="00690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2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nandezDiezJ\Documents\%7bD2AEC603-0BAC-3A45-A56D-63245E1700C9%7dtf16392114.dotx" TargetMode="External"/></Relationships>
</file>

<file path=word/theme/theme1.xml><?xml version="1.0" encoding="utf-8"?>
<a:theme xmlns:a="http://schemas.openxmlformats.org/drawingml/2006/main" name="Office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{D2AEC603-0BAC-3A45-A56D-63245E1700C9}tf16392114.dotx</Template>
  <TotalTime>247</TotalTime>
  <Pages>8</Pages>
  <Words>2088</Words>
  <Characters>11486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Díez Javier</dc:creator>
  <cp:keywords/>
  <dc:description/>
  <cp:lastModifiedBy>Hernández Díez Javier</cp:lastModifiedBy>
  <cp:revision>5</cp:revision>
  <dcterms:created xsi:type="dcterms:W3CDTF">2018-05-28T10:22:00Z</dcterms:created>
  <dcterms:modified xsi:type="dcterms:W3CDTF">2018-05-29T10:38:00Z</dcterms:modified>
</cp:coreProperties>
</file>